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122</w:t>
      </w:r>
    </w:p>
    <w:p>
      <w:r>
        <w:t>Bundesgericht (BGE), 2000-12-05, DE</w:t>
      </w:r>
    </w:p>
    <w:p>
      <w:r>
        <w:rPr>
          <w:b/>
        </w:rPr>
        <w:t xml:space="preserve">Quelle: </w:t>
      </w:r>
      <w:r>
        <w:t>https://mcp.opencaselaw.ch/entscheid/bge_127 II 122</w:t>
      </w:r>
    </w:p>
    <w:p>
      <w:r>
        <w:t>FR: ATF 127 II 122</w:t>
      </w:r>
    </w:p>
    <w:p>
      <w:r>
        <w:t>IT: DTF 127 II 122</w:t>
      </w:r>
    </w:p>
    <w:p>
      <w:pPr>
        <w:pStyle w:val="Heading2"/>
      </w:pPr>
      <w:r>
        <w:t>Regeste</w:t>
      </w:r>
    </w:p>
    <w:p>
      <w:r>
        <w:t>Regeste Art. 14 Abs. 2 lit. c, Art. 16 Abs. 1 und Art. 17 Abs. 1bis SVG; Art. 30 Abs. 1 VZV; Sicherungsentzug des Führerausweises, Drogensucht, Abklärung der Fahreignung. Der regelmässige Konsum von Drogen, der seiner Häufigkeit und Menge nach geeignet ist, die Fahreignung zu beeinträchtigen, ist der Drogenabhängigkeit gleichzustellen (E. 3c). Ein die momentane Fahrfähigkeit beinträchtigender Cannabiskonsum kann unter Umständen Anlass bieten, die generelle Fahreignung des Betroffenen durch ein Fachgutachten abklären zu lassen (E. 4b).</w:t>
      </w:r>
    </w:p>
    <w:p>
      <w:pPr>
        <w:pStyle w:val="Heading2"/>
      </w:pPr>
      <w:r>
        <w:t>Erwägungen</w:t>
      </w:r>
    </w:p>
    <w:p>
      <w:r>
        <w:rPr>
          <w:b/>
        </w:rPr>
        <w:t>E. 2</w:t>
      </w:r>
    </w:p>
    <w:p>
      <w:r>
        <w:t>a) Das beschwerdeführende Amt macht geltend, der Beschwerdegegner sei am Tag des Verkehrsunfalls schon am Morgen unter dem akuten Einfluss von Cannabis gestanden. Auf Grund der vom IRM festgestellten THC-COOH-Konzentration von 71,3 ng/ml sei zudem davon auszugehen, dass dieser kein blosser Gelegenheitskonsument sei. Überdies sei er als BGE 127 II 122 S. 124 Betäubungsmittelkonsument verzeichnet und habe nach seinen eigenen Angaben zwei Jahre vor dem Unfall harte Drogen konsumiert. Auf Grund dieser Umstände ergäben sich nicht auszuräumende Zweifel darüber, dass der Beschwerdegegner ein weiteres Mal unter dem Einfluss von Cannabis in verkehrsgefährdender Weise ein Motorfahrzeug lenken werde. Die Vorinstanz hätte den Fall daher nicht nur unter dem Gesichtspunkt der Verkehrsgefährdung und des Verschuldens beurteilen dürfen. Sie hätte vielmehr ein verkehrsmedizinisches und -psychologisches Gutachten über die Fahreignung des Beschwerdegegners anordnen müssen, namentlich zur Abklärung der Frage, ob der Beschwerdegegner in der Lage sei, Cannabiskonsum und Strassenverkehr hinreichend zu trennen. b) Die Vorinstanz beurteilt das Verschulden des Beschwerdegegners und die von ihm zu verantwortende Verkehrsgefährdung als äusserst schwer. Hinsichtlich seiner Fahreignung und zur Frage einer möglichen Drogensucht verweist sie auf die vom Beschwerdegegner beigebrachte Bestätigung seines Hausarztes, welcher eine Drogensucht klar verneint. c) Der Beschwerdegegner bringt vor, im Zeitpunkt des Unfalls hätten bei ihm keine Anzeichen für eine Drogensucht bestanden. Jedenfalls genüge der gelegentliche Konsum von Cannabis nicht, um eine Drogenabhängigkeit anzunehmen bzw. ein medizinisches Gutachten über die Fahreignung anzuordnen. Die Abklärungen der kantonalen Behörden erschienen daher als ausreichend. Zudem sei er sich in der Zwischenzeit der möglichen Auswirkungen des Cannabiskonsums auf seine Fahrfähigkeit bewusst geworden.</w:t>
      </w:r>
    </w:p>
    <w:p>
      <w:r>
        <w:rPr>
          <w:b/>
        </w:rPr>
        <w:t>E. 3</w:t>
      </w:r>
    </w:p>
    <w:p>
      <w:r>
        <w:t>a) Gemäss Art. 14 Abs. 2 lit. c SVG darf der Führerausweis nicht erteilt werden, wenn der Bewerber dem Trunke oder anderen die Fahrfähigkeit herabsetzenden Süchten ergeben ist. Wird nachträglich festgestellt, dass die gesetzlichen Voraussetzungen zur Erteilung nicht oder nicht mehr bestehen, ist der Führerausweis zu entziehen ( Art. 16 Abs. 1 SVG ). Ein solcher Sicherungsentzug dient gemäss Art. 30 Abs. 1 der Verordnung vom 27. Oktober 1976 über die Zulassung von Personen und Fahrzeugen zum Strassenverkehr (VZV; SR 741.51) der Sicherung des Verkehrs vor Fahrzeuglenkern, die aus medizinischen oder charakterlichen Gründen, wegen Trunksucht oder anderen Süchten oder wegen einer anderen Unfähigkeit zum Führen von Motorfahrzeugen nicht geeignet sind. In solchen Fällen, namentlich wenn die Fahreignung wegen Trunksucht oder anderen Suchtkrankheiten aufgehoben ist, wird der Führerausweis gemäss Art. 17 Abs. 1bis SVG auf unbestimmte Zeit entzogen. BGE 127 II 122 S. 125 b) Der Sicherungsentzug wegen Trunksucht oder anderer Suchtkrankheiten wird gemäss Art. 14 Abs. 2 lit. c i.V.m. Art. 17 Abs. 1bis SVG auf unbestimmte Zeit angeordnet und mit einer Probezeit von mindestens einem Jahr verbunden. Nach Ablauf der Probezeit kann der Ausweis bedingt und unter angemessenen Auflagen wieder erteilt werden; in der Regel wird hiefür der Nachweis der Heilung durch eine mindestens einjährige kontrollierte Abstinenz verlangt. Der Sicherungsentzug greift damit tief in den Persönlichkeitsbereich des Betroffenen ein. Nach der Rechtsprechung ist daher eine genaue Abklärung der persönlichen Verhältnisse und insbesondere der Trinkgewohnheiten bzw. der Konsumgewohnheiten anderer Drogen des Betroffenen in jedem Fall und von Amtes wegen vorzunehmen. Das Ausmass der notwendigen behördlichen Nachforschungen, namentlich die Frage, ob ein medizinisches Gutachten eingeholt werden soll, richtet sich nach den Umständen des Einzelfalles und liegt im pflichtgemässen Ermessen der Entzugsbehörde. Bei Drogensucht ist die Entzugsbehörde in aller Regel verpflichtet, ein gerichtsmedizinisches Gutachten einzuholen. Ein Verzicht auf eine spezialärztliche Begutachtung ist nur ausnahmsweise, etwa in Fällen offensichtlicher, schwerer Drogenabhängigkeit, gerechtfertigt ( BGE 126 II 185 E. 2a und 361 E. 3a; BGE 120 Ib 305 E. 4b, je mit Hinweisen). c) Voraussetzung für den Sicherungsentzug gemäss Art. 14 Abs. 2 lit. c i.V.m. Art. 17 Abs. 1bis SVG ist das Vorliegen einer Sucht. Trunksucht wird bejaht, wenn der Betreffende regelmässig so viel Alkohol konsumiert, dass seine Fahrfähigkeit vermindert wird und er diese Neigung zum übermässigen Alkoholgenuss durch den eigenen Willen nicht zu überwinden vermag. Nach der neueren Rechtsprechung des Bundesgerichts ist bei Personen, bei denen die Blutalkoholkonzentration 2,5 und mehr Promille beträgt, eine medizinische Fahreignungsuntersuchung anzuordnen, auch wenn sie während der letzten fünf Jahre vor der aktuellen Trunkenheitsfahrt keine einschlägige Widerhandlung begangen haben. Denn wer eine derart hohe Blutalkoholkonzentration aufweist, verfügt über eine so grosse Alkoholtoleranz, dass in aller Regel auf eine Alkoholabhängigkeit geschlossen werden muss ( BGE 126 II 185 E. 2d und e). Dasselbe gilt für einen Lenker, der ein erstes Mal mit mindestens 1,74 Promille gefahren und sich rund ein Jahr später wiederum angetrunken, mit einer Blutalkoholkonzentration von mindestens 1,79 Promille, ans Steuer gesetzt hat ( BGE 126 II 361 E. 3c). BGE 127 II 122 S. 126 Drogensucht wird nach der Rechtsprechung bejaht, wenn die Abhängigkeit von der Droge derart ist, dass der Betroffene mehr als jede andere Person der Gefahr ausgesetzt ist, sich ans Steuer eines Fahrzeugs in einem - dauernden oder zeitweiligen - Zustand zu setzen, der das sichere Führen nicht mehr gewährleistet ( BGE 124 II 559 E. 2b; BGE 120 Ib 305 E. 3c, je mit Hinweisen). Im Interesse der Verkehrssicherheit setzt die Rechtsprechung den regelmässigen Konsum von Drogen der Drogenabhängigkeit gleich, sofern dieser seiner Häufigkeit und Menge nach geeignet ist, die Fahreignung zu beeinträchtigen. Auf fehlende Fahreignung darf geschlossen werden, wenn der Betroffene nicht mehr in der Lage ist, Haschischkonsum und Strassenverkehr ausreichend zu trennen, oder wenn die nahe liegende Gefahr besteht, dass er im akuten Rauschzustand am motorisierten Strassenverkehr teilnimmt ( BGE 124 II 559 E. 3d).</w:t>
      </w:r>
    </w:p>
    <w:p>
      <w:r>
        <w:rPr>
          <w:b/>
        </w:rPr>
        <w:t>E. 4</w:t>
      </w:r>
    </w:p>
    <w:p>
      <w:r>
        <w:t>a) Das Strassenverkehrs- und Schifffahrtsamt des Kantons Bern forderte den Beschwerdegegner am 1. Dezember 1998 gestützt auf die Verzeigung wegen Führens eines Personenwagens unter Einfluss von Drogen auf, ein ärztliches Zeugnis eines Arztes seiner Wahl gemäss beigelegtem Formular einzureichen, in welchem ausführlich zu dessen Fahrtauglichkeit und zur Frage einer möglichen Drogensucht Stellung genommen werde. Nachdem er mehrmals gemahnt werden musste, reichte der Beschwerdegegner am 9. April 1999 ein Zeugnis seines Hausarztes ein, in welchem dieser bestätigte, dass sein Patient weder von ihm noch von anderen Ärzten je wegen Drogenkonsums behandelt worden sei. Gestützt darauf teilte das Amt dem Beschwerdegegner mit, es erachte seine Fahreignung als gegeben, und sistierte den Entscheid im Administrativverfahren bis zum Abschluss der strafrechtlichen Beurteilung. Das IRM nahm im vorliegenden Fall die chemisch-toxikologische Untersuchung vor. Seinem der Strafbehörde am 26. Januar 1999 erstatteten Bericht zufolge stand der Beschwerdegegner im Zeitpunkt des Unfalls unter dem akuten Einfluss von Cannabis, was zu einer Einschränkung seiner Fahrfähigkeit geführt hat. Das IRM empfahl auf Grund dessen eine Überprüfung der Fahreignung durch die zuständige Behörde. Nach Abschluss der strafrechtlichen Beurteilung verfügte die Administrativbehörde einen zweimonatigen Warnungsentzug. Diesen Entscheid schützte die Vorinstanz. Sie hielt aber fest, beim Beschwerdegegner handle es sich entgegen seinen Behauptungen nicht bloss um einen Wochenendkonsumenten von Drogen. Insbesondere treffe seine im kantonalen Verfahren vorgebrachte BGE 127 II 122 S. 127 Behauptung, er habe letztmals am Donnerstagabend vor dem Unfall Haschisch geraucht, nicht zu. b) Nach der Rechtsprechung erlaubt ein regelmässiger, aber kontrollierter und mässiger Haschischkonsum für sich allein noch nicht den Schluss auf eine fehlende Fahreignung ( BGE 124 II 559 E. 4d und e). Ob diese gegeben ist, kann ohne Angaben über die Konsumgewohnheiten des Betroffenen, namentlich über Häufigkeit, Menge und Umstände des Cannabiskonsums und des allfälligen Konsums weiterer Betäubungsmittel und/oder Alkohol, sowie zu seiner Persönlichkeit, insbesondere hinsichtlich Drogenmissbrauch und Strassenverkehr, nicht beurteilt werden ( BGE 124 II 559 E. 4e und 5a). Aus dem angeführten Entscheid ergibt sich indessen, dass ein die momentane Fahrfähigkeit beeinträchtigender Cannabiskonsum Anlass bieten kann, die generelle Fahreignung des Betroffenen durch ein Fachgutachten näher abklären zu lassen. So verhält es sich auch im zu beurteilenden Fall. Der Beschwerdegegner war den Behörden als Betäubungsmittelkonsument bekannt, konsumierte am fraglichen Tag bereits am Morgen Cannabis und verursachte unter akutem Cannabiseinfluss einen schweren Unfall mit hiefür typischen Fahrfehlern. Nach seinen eigenen Angaben raucht er ca. einmal pro Woche Haschisch und konsumierte ausserdem früher, d.h. ca. zwei Jahre vor dem Unfall, harte Drogen. Dass die Administrativbehörde in Anbetracht dieser Umstände und angesichts des rechtsmedizinischen Befundes, der auf einen starken Konsumenten hinweist (PETER X. ITEN, Fahren unter Drogen- oder Medikamenteneinfluss, Forensische Interpretation und Begutachtung, Zürich 1994, S. 114), daran gezweifelt hat, ob der Beschwerdegegner in der Lage sei, Haschischkonsum und Strassenverkehr ausreichend zu trennen, und auf Grund dessen eine Abklärung seiner Fahreignung anordnete, ist nicht zu beanstanden. Wenn das Strassenverkehrs- und Schifffahrtsamt aber eine solche Abklärung für erforderlich hielt, durfte es sich nicht mit der Bestätigung des Hausarztes des Beschwerdegegners begnügen, die letztlich bloss in einer knappen und - auf Grund missverständlicher Fragestellung - unklaren Beantwortung vorgedruckter Fragen auf dem beigelegten Formular "Ärztliches Zeugnis betreffend Fahreignung nach Drogenkonsum" bestand. Dies gilt nicht zuletzt im Hinblick auf einen allfälligen Interessenkonflikt des Arztes. Unter diesen Umständen war das ärztliche Zeugnis unzureichend. Die Abklärungen der Administrativbehörden erweisen sich daher als offensichtlich unvollständig. Wie das beschwerdeführende Amt zu BGE 127 II 122 S. 128 Recht vorbringt, hätte das Strassenverkehrs- und Schifffahrtsamt - spätestens jedenfalls zum Zeitpunkt der Einreichung des ungenügenden ärztlichen Berichts im Frühjahr 1999 - ein verkehrsmedizinisches und -psychologisches Gutachten durch ein spezialisiertes Institut anordnen müssen und das Administrativverfahren nicht bis zum Abschluss der strafrechtlichen Beurteilung aufschieben dürfen. Indem sowohl das Amt als auch die Vorinstanz auf die Einholung eines solchen Gutachtens verzichteten, haben sie ihre Ermittlungspflicht verletzt (vgl. BGE 120 Ib 305 E. 4d und 5a). Dass bis zum Entscheid der Vorinstanz etliche Zeit verstrichen und der Beschwerdegegner bis dahin nicht mehr auffällig geworden ist, kann an der Notwendigkeit einer Begutachtung nichts ändern, zumal der Zeitablauf nicht nur auf die unkoordinierte Zusammenarbeit zwischen Straf- und Administrativbehörden, sondern zu einem guten Teil auch auf das an Trölerei grenzende Verhalten des Beschwerdegegners selbst zurückzuführen ist. Die Beschwerde erweist sich somit als begründet. c) Die Dauer des Warnungsentzugs von zwei Monaten ist unbestritten. Sollte die Abklärung des Sachverständigen ergeben, dass beim Beschwerdegegner kein Eignungsmangel vorliegt und deshalb ein Sicherungsentzug nicht erforderlich ist, bleibt es beim angefochtenen Entscheid.</w:t>
      </w:r>
    </w:p>
    <w:p>
      <w:r>
        <w:rPr>
          <w:b/>
        </w:rPr>
        <w:t>E. 5</w:t>
      </w:r>
    </w:p>
    <w:p>
      <w:r>
        <w:t>Insgesamt erweisen sich die Abklärungen der Vorinstanz als offensichtlich unvollständig. Dies führt, wenn das Bundesgericht nicht selbst in der Sache entscheidet, zur Aufhebung und Rückweisung der Sache an die Vorinstanz ( Art. 114 Abs. 2 OG ). Hat diese als Beschwerdeinstanz entschieden, so kann das Bundesgericht die Sache auch an die Behörde zurückweisen, die in erster Instanz verfügt hat. Im vorliegenden Fall erscheint es als angebracht, die Sache an das Strassenverkehrs- und Schifffahrtsamt zurückzuweisen, das in erster Linie zur Einholung eines medizinischen Gutachtens verpflichtet gewesen wäre. Dabei liegt es im Ermessen dieser Behörde, gegebenenfalls gestützt auf Art. 35 Abs. 3 VZV vorsorglich einen sofortigen Entzug des Führerausweises bis zur Abklärung von Ausschlussgründen anzuordnen. Darüber wird sie von Amtes wegen zu befinden haben, womit sich eine entsprechende Auflage erübrigt. Obschon der vorsorgliche Entzug in solchen Fällen die Regel bildet ( BGE 125 II 396 E. 3), wird hier zu berücksichtigen sein, wie sich der Beschwerdegegner in der Zwischenzeit im Strassenverkehr verhalten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